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43" w:rsidRDefault="003D4343" w:rsidP="004C6FC9">
      <w:pPr>
        <w:contextualSpacing/>
        <w:rPr>
          <w:b/>
          <w:sz w:val="24"/>
          <w:szCs w:val="24"/>
        </w:rPr>
      </w:pPr>
      <w:r w:rsidRPr="0034395D">
        <w:rPr>
          <w:b/>
          <w:sz w:val="24"/>
          <w:szCs w:val="24"/>
        </w:rPr>
        <w:t>Inschrijfformulier voor bouwkavel</w:t>
      </w:r>
      <w:r w:rsidR="00C177A8" w:rsidRPr="0034395D">
        <w:rPr>
          <w:b/>
          <w:sz w:val="24"/>
          <w:szCs w:val="24"/>
        </w:rPr>
        <w:t>s</w:t>
      </w:r>
      <w:r w:rsidR="0034395D" w:rsidRPr="0034395D">
        <w:rPr>
          <w:b/>
          <w:sz w:val="24"/>
          <w:szCs w:val="24"/>
        </w:rPr>
        <w:t xml:space="preserve"> </w:t>
      </w:r>
      <w:proofErr w:type="spellStart"/>
      <w:r w:rsidR="00D84332" w:rsidRPr="0034395D">
        <w:rPr>
          <w:b/>
          <w:sz w:val="24"/>
          <w:szCs w:val="24"/>
        </w:rPr>
        <w:t>Oijense</w:t>
      </w:r>
      <w:proofErr w:type="spellEnd"/>
      <w:r w:rsidR="00D84332" w:rsidRPr="0034395D">
        <w:rPr>
          <w:b/>
          <w:sz w:val="24"/>
          <w:szCs w:val="24"/>
        </w:rPr>
        <w:t xml:space="preserve"> Zij Noord</w:t>
      </w:r>
      <w:r w:rsidR="00F61FBE" w:rsidRPr="0034395D">
        <w:rPr>
          <w:b/>
          <w:sz w:val="24"/>
          <w:szCs w:val="24"/>
        </w:rPr>
        <w:t xml:space="preserve"> fase 2 </w:t>
      </w:r>
      <w:r w:rsidR="00C177A8" w:rsidRPr="0034395D">
        <w:rPr>
          <w:b/>
          <w:sz w:val="24"/>
          <w:szCs w:val="24"/>
        </w:rPr>
        <w:t>2</w:t>
      </w:r>
      <w:r w:rsidR="00D84332" w:rsidRPr="0034395D">
        <w:rPr>
          <w:b/>
          <w:sz w:val="24"/>
          <w:szCs w:val="24"/>
        </w:rPr>
        <w:t>021</w:t>
      </w:r>
    </w:p>
    <w:p w:rsidR="0034395D" w:rsidRPr="0034395D" w:rsidRDefault="0034395D" w:rsidP="004C6FC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(alleen te gebruiken als digitaal inschrijven niet lukt)</w:t>
      </w:r>
    </w:p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694"/>
        <w:gridCol w:w="2239"/>
      </w:tblGrid>
      <w:tr w:rsidR="00B16E97" w:rsidTr="00C361AD">
        <w:tc>
          <w:tcPr>
            <w:tcW w:w="2943" w:type="dxa"/>
            <w:shd w:val="clear" w:color="auto" w:fill="EEECE1" w:themeFill="background2"/>
          </w:tcPr>
          <w:p w:rsidR="00F566EB" w:rsidRPr="00C361AD" w:rsidRDefault="00CD175F" w:rsidP="004C6FC9">
            <w:pPr>
              <w:contextualSpacing/>
              <w:rPr>
                <w:b/>
              </w:rPr>
            </w:pPr>
            <w:r w:rsidRPr="00C361AD">
              <w:rPr>
                <w:b/>
              </w:rPr>
              <w:t>A</w:t>
            </w:r>
            <w:r w:rsidR="00F566EB" w:rsidRPr="00C361AD">
              <w:rPr>
                <w:b/>
              </w:rPr>
              <w:t>anvrager</w:t>
            </w:r>
          </w:p>
          <w:p w:rsidR="003219D2" w:rsidRPr="00C361AD" w:rsidRDefault="003219D2" w:rsidP="004C6FC9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de heer</w:t>
            </w:r>
          </w:p>
        </w:tc>
        <w:tc>
          <w:tcPr>
            <w:tcW w:w="2239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mevrouw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Voornamen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D84332" w:rsidTr="00CD175F">
        <w:tc>
          <w:tcPr>
            <w:tcW w:w="2943" w:type="dxa"/>
          </w:tcPr>
          <w:p w:rsidR="00D84332" w:rsidRDefault="00D84332" w:rsidP="004C6FC9">
            <w:pPr>
              <w:contextualSpacing/>
            </w:pPr>
            <w:r>
              <w:t>Achternaam:</w:t>
            </w:r>
          </w:p>
          <w:p w:rsidR="00D84332" w:rsidRDefault="00D84332" w:rsidP="004C6FC9">
            <w:pPr>
              <w:contextualSpacing/>
            </w:pPr>
          </w:p>
        </w:tc>
        <w:tc>
          <w:tcPr>
            <w:tcW w:w="2410" w:type="dxa"/>
          </w:tcPr>
          <w:p w:rsidR="00D84332" w:rsidRDefault="00D84332" w:rsidP="004C6FC9">
            <w:pPr>
              <w:contextualSpacing/>
            </w:pPr>
          </w:p>
        </w:tc>
        <w:tc>
          <w:tcPr>
            <w:tcW w:w="1694" w:type="dxa"/>
          </w:tcPr>
          <w:p w:rsidR="00D84332" w:rsidRDefault="00D84332" w:rsidP="004C6FC9">
            <w:pPr>
              <w:contextualSpacing/>
            </w:pPr>
          </w:p>
        </w:tc>
        <w:tc>
          <w:tcPr>
            <w:tcW w:w="2239" w:type="dxa"/>
          </w:tcPr>
          <w:p w:rsidR="00D84332" w:rsidRDefault="00D84332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CD175F">
            <w:pPr>
              <w:contextualSpacing/>
            </w:pPr>
            <w:r>
              <w:t>Geboorteplaats +</w:t>
            </w:r>
            <w:r w:rsidR="00CD175F">
              <w:t xml:space="preserve"> </w:t>
            </w:r>
            <w:r w:rsidR="004745F8">
              <w:t>d</w:t>
            </w:r>
            <w:r>
              <w:t>atum</w:t>
            </w:r>
            <w:r w:rsidR="00CD175F">
              <w:t>:</w:t>
            </w:r>
          </w:p>
          <w:p w:rsidR="00CD175F" w:rsidRDefault="00CD175F" w:rsidP="00CD175F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Straatnaam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3219D2" w:rsidP="004C6FC9">
            <w:pPr>
              <w:contextualSpacing/>
            </w:pPr>
            <w:r>
              <w:t>Postcode</w:t>
            </w:r>
            <w:r w:rsidR="00F566EB">
              <w:t xml:space="preserve"> + </w:t>
            </w:r>
            <w:r>
              <w:t>woon</w:t>
            </w:r>
            <w:r w:rsidR="00F566EB">
              <w:t>plaats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Telefoon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Emailadres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t>@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 xml:space="preserve">Burgerlijke </w:t>
            </w:r>
            <w:proofErr w:type="spellStart"/>
            <w:r>
              <w:t>staat</w:t>
            </w:r>
            <w:r w:rsidR="00CD175F">
              <w:t>:</w:t>
            </w:r>
            <w:r w:rsidR="003664F0">
              <w:t>o</w:t>
            </w:r>
            <w:proofErr w:type="spellEnd"/>
            <w:r w:rsidR="003664F0">
              <w:t xml:space="preserve"> ongehuwd</w:t>
            </w:r>
          </w:p>
        </w:tc>
        <w:tc>
          <w:tcPr>
            <w:tcW w:w="2410" w:type="dxa"/>
          </w:tcPr>
          <w:p w:rsidR="00F566EB" w:rsidRDefault="00F566EB" w:rsidP="00C177A8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gehuwd/</w:t>
            </w:r>
            <w:r w:rsidR="00CD175F">
              <w:t xml:space="preserve">                            </w:t>
            </w:r>
            <w:r w:rsidR="007E3E74">
              <w:t xml:space="preserve">      </w:t>
            </w:r>
            <w:r w:rsidR="00C177A8">
              <w:t xml:space="preserve">geregistreerd </w:t>
            </w:r>
            <w:r>
              <w:t>partner</w:t>
            </w:r>
          </w:p>
        </w:tc>
        <w:tc>
          <w:tcPr>
            <w:tcW w:w="1694" w:type="dxa"/>
          </w:tcPr>
          <w:p w:rsidR="00F566EB" w:rsidRDefault="003664F0" w:rsidP="004C6FC9">
            <w:pPr>
              <w:contextualSpacing/>
            </w:pPr>
            <w:r>
              <w:t>o</w:t>
            </w:r>
            <w:r w:rsidR="007E3E74">
              <w:t xml:space="preserve"> samenwonend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thuiswonend</w:t>
            </w:r>
          </w:p>
        </w:tc>
      </w:tr>
      <w:tr w:rsidR="00B16E97" w:rsidTr="00C361AD">
        <w:tc>
          <w:tcPr>
            <w:tcW w:w="2943" w:type="dxa"/>
            <w:shd w:val="clear" w:color="auto" w:fill="EEECE1" w:themeFill="background2"/>
          </w:tcPr>
          <w:p w:rsidR="00F566EB" w:rsidRPr="00C361AD" w:rsidRDefault="007E3E74" w:rsidP="004C6FC9">
            <w:pPr>
              <w:contextualSpacing/>
              <w:rPr>
                <w:b/>
              </w:rPr>
            </w:pPr>
            <w:r>
              <w:rPr>
                <w:b/>
              </w:rPr>
              <w:t>(toekomstig)</w:t>
            </w:r>
            <w:r w:rsidR="00CD175F" w:rsidRPr="00C361AD">
              <w:rPr>
                <w:b/>
              </w:rPr>
              <w:t>P</w:t>
            </w:r>
            <w:r w:rsidR="00F566EB" w:rsidRPr="00C361AD">
              <w:rPr>
                <w:b/>
              </w:rPr>
              <w:t>artner</w:t>
            </w:r>
          </w:p>
          <w:p w:rsidR="003219D2" w:rsidRPr="00C361AD" w:rsidRDefault="003219D2" w:rsidP="004C6FC9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de heer</w:t>
            </w:r>
          </w:p>
        </w:tc>
        <w:tc>
          <w:tcPr>
            <w:tcW w:w="2239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 xml:space="preserve">0 </w:t>
            </w:r>
            <w:r w:rsidRPr="00C361AD">
              <w:rPr>
                <w:b/>
              </w:rPr>
              <w:t>mevrouw</w:t>
            </w:r>
          </w:p>
        </w:tc>
      </w:tr>
      <w:tr w:rsidR="00B16E97" w:rsidTr="00CD175F">
        <w:tc>
          <w:tcPr>
            <w:tcW w:w="2943" w:type="dxa"/>
          </w:tcPr>
          <w:p w:rsidR="00F566EB" w:rsidRDefault="00D84332" w:rsidP="004C6FC9">
            <w:pPr>
              <w:contextualSpacing/>
            </w:pPr>
            <w:r>
              <w:t>Voornamen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D84332" w:rsidTr="00CD175F">
        <w:tc>
          <w:tcPr>
            <w:tcW w:w="2943" w:type="dxa"/>
          </w:tcPr>
          <w:p w:rsidR="00D84332" w:rsidRDefault="00D84332" w:rsidP="004C6FC9">
            <w:pPr>
              <w:contextualSpacing/>
            </w:pPr>
            <w:r>
              <w:t>Achternaam:</w:t>
            </w:r>
          </w:p>
          <w:p w:rsidR="00D84332" w:rsidRDefault="00D84332" w:rsidP="004C6FC9">
            <w:pPr>
              <w:contextualSpacing/>
            </w:pPr>
          </w:p>
        </w:tc>
        <w:tc>
          <w:tcPr>
            <w:tcW w:w="2410" w:type="dxa"/>
          </w:tcPr>
          <w:p w:rsidR="00D84332" w:rsidRDefault="00D84332" w:rsidP="004C6FC9">
            <w:pPr>
              <w:contextualSpacing/>
            </w:pPr>
          </w:p>
        </w:tc>
        <w:tc>
          <w:tcPr>
            <w:tcW w:w="1694" w:type="dxa"/>
          </w:tcPr>
          <w:p w:rsidR="00D84332" w:rsidRDefault="00D84332" w:rsidP="004C6FC9">
            <w:pPr>
              <w:contextualSpacing/>
            </w:pPr>
          </w:p>
        </w:tc>
        <w:tc>
          <w:tcPr>
            <w:tcW w:w="2239" w:type="dxa"/>
          </w:tcPr>
          <w:p w:rsidR="00D84332" w:rsidRDefault="00D84332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Geboorteplaats + datum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B16E97" w:rsidRDefault="00B16E97" w:rsidP="004C6FC9">
            <w:pPr>
              <w:contextualSpacing/>
            </w:pPr>
            <w:r>
              <w:t>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B16E97" w:rsidRDefault="00B16E97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als boven</w:t>
            </w:r>
          </w:p>
        </w:tc>
        <w:tc>
          <w:tcPr>
            <w:tcW w:w="3933" w:type="dxa"/>
            <w:gridSpan w:val="2"/>
          </w:tcPr>
          <w:p w:rsidR="00B16E97" w:rsidRDefault="00B16E97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afwijkend vul hieronder uw adres in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Straatnaam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3219D2" w:rsidP="004C6FC9">
            <w:pPr>
              <w:contextualSpacing/>
            </w:pPr>
            <w:r>
              <w:t>Postcode</w:t>
            </w:r>
            <w:r w:rsidR="00F566EB">
              <w:t xml:space="preserve"> + </w:t>
            </w:r>
            <w:r>
              <w:t>woon</w:t>
            </w:r>
            <w:r w:rsidR="00F566EB">
              <w:t>plaats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Telefoon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Emailadres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t>@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 xml:space="preserve">Burgerlijke </w:t>
            </w:r>
            <w:proofErr w:type="spellStart"/>
            <w:r>
              <w:t>staat</w:t>
            </w:r>
            <w:r w:rsidR="00CD175F">
              <w:t>:</w:t>
            </w:r>
            <w:r w:rsidR="00511AE1">
              <w:t>o</w:t>
            </w:r>
            <w:proofErr w:type="spellEnd"/>
            <w:r w:rsidR="00511AE1">
              <w:t xml:space="preserve"> ongehuwd</w:t>
            </w:r>
          </w:p>
        </w:tc>
        <w:tc>
          <w:tcPr>
            <w:tcW w:w="2410" w:type="dxa"/>
          </w:tcPr>
          <w:p w:rsidR="00F566EB" w:rsidRDefault="00F566EB" w:rsidP="00C177A8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gehuwd/</w:t>
            </w:r>
            <w:r w:rsidR="00CD175F">
              <w:t xml:space="preserve"> </w:t>
            </w:r>
            <w:r w:rsidR="007E3E74">
              <w:t>geregistr</w:t>
            </w:r>
            <w:r w:rsidR="00C177A8">
              <w:t xml:space="preserve">eerd </w:t>
            </w:r>
            <w:r>
              <w:t>partner</w:t>
            </w: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samenwonend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thuiswonend</w:t>
            </w:r>
          </w:p>
        </w:tc>
      </w:tr>
    </w:tbl>
    <w:p w:rsidR="00B16E97" w:rsidRDefault="00B16E97" w:rsidP="004C6FC9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D84332" w:rsidTr="00B20F9B">
        <w:tc>
          <w:tcPr>
            <w:tcW w:w="7366" w:type="dxa"/>
          </w:tcPr>
          <w:p w:rsidR="00D84332" w:rsidRDefault="00D84332" w:rsidP="004C6FC9">
            <w:pPr>
              <w:contextualSpacing/>
            </w:pPr>
            <w:r>
              <w:t>Heeft u in de afgelopen periode van vijf (5) jaar al eerder een kavel van de gemeente Oss gekocht?</w:t>
            </w:r>
          </w:p>
          <w:p w:rsidR="00D84332" w:rsidRDefault="00D84332" w:rsidP="004C6FC9">
            <w:pPr>
              <w:contextualSpacing/>
            </w:pPr>
            <w:r>
              <w:t>Als u de vraag met ja beantwoord kunt u niet inschrijven voor een kavel.</w:t>
            </w:r>
          </w:p>
        </w:tc>
        <w:tc>
          <w:tcPr>
            <w:tcW w:w="1694" w:type="dxa"/>
          </w:tcPr>
          <w:p w:rsidR="00D84332" w:rsidRDefault="00D84332" w:rsidP="004C6FC9">
            <w:pPr>
              <w:contextualSpacing/>
            </w:pPr>
          </w:p>
          <w:p w:rsidR="00D84332" w:rsidRDefault="00D84332" w:rsidP="004C6FC9">
            <w:pPr>
              <w:contextualSpacing/>
            </w:pPr>
            <w:r>
              <w:t>0 Ja    0 Nee</w:t>
            </w:r>
          </w:p>
        </w:tc>
      </w:tr>
    </w:tbl>
    <w:p w:rsidR="00D84332" w:rsidRDefault="00D84332" w:rsidP="004C6FC9">
      <w:pPr>
        <w:contextualSpacing/>
      </w:pPr>
    </w:p>
    <w:p w:rsidR="00B16E97" w:rsidRDefault="005462CA" w:rsidP="004C6FC9">
      <w:pPr>
        <w:contextualSpacing/>
      </w:pPr>
      <w:r>
        <w:t>Per aanvrager</w:t>
      </w:r>
      <w:r w:rsidR="00B16E97">
        <w:t xml:space="preserve"> en </w:t>
      </w:r>
      <w:r>
        <w:t xml:space="preserve">(eventuele toekomstige) </w:t>
      </w:r>
      <w:r w:rsidR="00B16E97">
        <w:t>partner kan slechts één inschrijfformulier worden ingeleverd c.q. zal slechts één inschrijfformulier aan de loting worden toegelaten.</w:t>
      </w:r>
      <w:r>
        <w:t xml:space="preserve"> Kandidaten die zich hier </w:t>
      </w:r>
      <w:r w:rsidRPr="005462CA">
        <w:rPr>
          <w:u w:val="single"/>
        </w:rPr>
        <w:t>niet</w:t>
      </w:r>
      <w:r>
        <w:t xml:space="preserve"> aan houden, </w:t>
      </w:r>
      <w:r w:rsidRPr="005462CA">
        <w:rPr>
          <w:u w:val="single"/>
        </w:rPr>
        <w:t>verliezen</w:t>
      </w:r>
      <w:r>
        <w:t xml:space="preserve"> hun door loting verkregen positie. </w:t>
      </w:r>
    </w:p>
    <w:p w:rsidR="00C361AD" w:rsidRDefault="00C361AD" w:rsidP="00CD175F">
      <w:pPr>
        <w:contextualSpacing/>
        <w:rPr>
          <w:b/>
        </w:rPr>
      </w:pPr>
    </w:p>
    <w:p w:rsidR="00822F82" w:rsidRDefault="00822F82" w:rsidP="004C6FC9">
      <w:pPr>
        <w:contextualSpacing/>
        <w:rPr>
          <w:b/>
        </w:rPr>
      </w:pPr>
      <w:r w:rsidRPr="00822F82">
        <w:rPr>
          <w:b/>
        </w:rPr>
        <w:t xml:space="preserve">De inschrijfperiode is </w:t>
      </w:r>
      <w:r w:rsidR="003D4343" w:rsidRPr="00284CB4">
        <w:rPr>
          <w:b/>
        </w:rPr>
        <w:t xml:space="preserve">van </w:t>
      </w:r>
      <w:r w:rsidR="00B20F9B">
        <w:rPr>
          <w:b/>
        </w:rPr>
        <w:t>11</w:t>
      </w:r>
      <w:r w:rsidR="00F61FBE" w:rsidRPr="00284CB4">
        <w:rPr>
          <w:b/>
        </w:rPr>
        <w:t xml:space="preserve"> </w:t>
      </w:r>
      <w:r w:rsidR="00D84332">
        <w:rPr>
          <w:b/>
        </w:rPr>
        <w:t>juni</w:t>
      </w:r>
      <w:r w:rsidR="003D4343">
        <w:rPr>
          <w:b/>
        </w:rPr>
        <w:t xml:space="preserve"> </w:t>
      </w:r>
      <w:r w:rsidR="00D84332">
        <w:rPr>
          <w:b/>
        </w:rPr>
        <w:t>2021</w:t>
      </w:r>
      <w:r w:rsidR="003D4343">
        <w:rPr>
          <w:b/>
        </w:rPr>
        <w:t xml:space="preserve"> tot en </w:t>
      </w:r>
      <w:r w:rsidR="003D4343" w:rsidRPr="00284CB4">
        <w:rPr>
          <w:b/>
        </w:rPr>
        <w:t xml:space="preserve">met </w:t>
      </w:r>
      <w:r w:rsidR="00B20F9B">
        <w:rPr>
          <w:b/>
        </w:rPr>
        <w:t>21</w:t>
      </w:r>
      <w:r w:rsidR="00C177A8" w:rsidRPr="00284CB4">
        <w:rPr>
          <w:b/>
        </w:rPr>
        <w:t xml:space="preserve"> </w:t>
      </w:r>
      <w:r w:rsidR="00D84332">
        <w:rPr>
          <w:b/>
        </w:rPr>
        <w:t>juni</w:t>
      </w:r>
      <w:r w:rsidR="003D4343">
        <w:rPr>
          <w:b/>
        </w:rPr>
        <w:t xml:space="preserve"> </w:t>
      </w:r>
      <w:r w:rsidR="00D84332">
        <w:rPr>
          <w:b/>
        </w:rPr>
        <w:t>2021</w:t>
      </w:r>
    </w:p>
    <w:p w:rsidR="00E37E0D" w:rsidRDefault="00E37E0D" w:rsidP="004C6FC9">
      <w:pPr>
        <w:contextualSpacing/>
      </w:pPr>
      <w:r>
        <w:t xml:space="preserve">Uw inschrijving moet </w:t>
      </w:r>
      <w:r w:rsidR="00B20F9B">
        <w:t>21</w:t>
      </w:r>
      <w:r w:rsidR="00C177A8" w:rsidRPr="00284CB4">
        <w:t xml:space="preserve"> </w:t>
      </w:r>
      <w:r w:rsidR="00D84332">
        <w:t>juni</w:t>
      </w:r>
      <w:r w:rsidR="00286644" w:rsidRPr="00284CB4">
        <w:t xml:space="preserve"> </w:t>
      </w:r>
      <w:r w:rsidR="00D84332">
        <w:t>2021</w:t>
      </w:r>
      <w:r w:rsidR="00CD175F">
        <w:t xml:space="preserve"> </w:t>
      </w:r>
      <w:r w:rsidR="005C2E1F">
        <w:t>vóór</w:t>
      </w:r>
      <w:r w:rsidR="00CD175F">
        <w:t xml:space="preserve"> </w:t>
      </w:r>
      <w:r w:rsidR="007E3E74">
        <w:t>12</w:t>
      </w:r>
      <w:r>
        <w:t xml:space="preserve">.00 uur binnen zijn. </w:t>
      </w:r>
    </w:p>
    <w:p w:rsidR="00D84332" w:rsidRDefault="00E37E0D" w:rsidP="004C6FC9">
      <w:pPr>
        <w:contextualSpacing/>
      </w:pPr>
      <w:r>
        <w:t>Inschrijvingen die later binnen komen, worden ni</w:t>
      </w:r>
      <w:r w:rsidR="003D4343">
        <w:t>et meer meegenomen.</w:t>
      </w:r>
    </w:p>
    <w:p w:rsidR="00D84332" w:rsidRDefault="00D84332">
      <w:r>
        <w:br w:type="page"/>
      </w:r>
    </w:p>
    <w:p w:rsidR="00E37E0D" w:rsidRDefault="00D84332" w:rsidP="004C6FC9">
      <w:pPr>
        <w:contextualSpacing/>
      </w:pPr>
      <w:r>
        <w:lastRenderedPageBreak/>
        <w:t>De “Spelregels loting bouwkavels gemeente Oss” zijn op deze inschrijving/loting van toepassing.</w:t>
      </w:r>
    </w:p>
    <w:p w:rsidR="00B20F9B" w:rsidRDefault="00B20F9B" w:rsidP="004C6FC9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B20F9B" w:rsidTr="00B20F9B">
        <w:tc>
          <w:tcPr>
            <w:tcW w:w="8075" w:type="dxa"/>
          </w:tcPr>
          <w:p w:rsidR="00B20F9B" w:rsidRDefault="00B20F9B" w:rsidP="004C6FC9">
            <w:pPr>
              <w:contextualSpacing/>
            </w:pPr>
            <w:r>
              <w:t>De inschrijver heeft de “Spelregels loting bouwkavels gemeente Oss” gelezen en begrepen</w:t>
            </w:r>
          </w:p>
        </w:tc>
        <w:tc>
          <w:tcPr>
            <w:tcW w:w="985" w:type="dxa"/>
          </w:tcPr>
          <w:p w:rsidR="00B20F9B" w:rsidRDefault="00B20F9B" w:rsidP="004C6FC9">
            <w:pPr>
              <w:contextualSpacing/>
            </w:pPr>
            <w:r>
              <w:t>0 Ja</w:t>
            </w:r>
          </w:p>
        </w:tc>
      </w:tr>
    </w:tbl>
    <w:p w:rsidR="00D84332" w:rsidRDefault="00D84332" w:rsidP="004C6FC9">
      <w:pPr>
        <w:contextualSpacing/>
      </w:pPr>
    </w:p>
    <w:p w:rsidR="001A0AFA" w:rsidRDefault="001A0AFA" w:rsidP="004C6FC9">
      <w:pPr>
        <w:contextualSpacing/>
        <w:rPr>
          <w:b/>
        </w:rPr>
      </w:pPr>
      <w:r w:rsidRPr="001A0AFA">
        <w:rPr>
          <w:b/>
        </w:rPr>
        <w:t xml:space="preserve">Als het u niet lukt om digitaal in te schrijven, dan kunt u het </w:t>
      </w:r>
      <w:r>
        <w:rPr>
          <w:b/>
        </w:rPr>
        <w:t xml:space="preserve">papieren </w:t>
      </w:r>
      <w:r w:rsidRPr="001A0AFA">
        <w:rPr>
          <w:b/>
        </w:rPr>
        <w:t>inschrijfformulier in een gesloten enveloppe afgeven bij de receptie van het gemeentehuis, Raadhuislaan 2, 5341 GM Oss. U ontvangt dan een ontvangstbewijs. Inschrijfformulieren die in de brievenbus van het gemeentehuis worden gedeponeerd worden niet in behandeling genomen</w:t>
      </w:r>
    </w:p>
    <w:p w:rsidR="001E768E" w:rsidRDefault="001E768E" w:rsidP="004C6FC9">
      <w:pPr>
        <w:contextualSpacing/>
      </w:pPr>
    </w:p>
    <w:p w:rsidR="001E768E" w:rsidRDefault="001E768E" w:rsidP="004C6FC9">
      <w:pPr>
        <w:contextualSpacing/>
      </w:pPr>
      <w:r>
        <w:t xml:space="preserve">Hij/zij wenst/wensen deel te nemen aan de inschrijving van de navolgende bouwkavel(s), u mag een voorkeur voor </w:t>
      </w:r>
      <w:r>
        <w:rPr>
          <w:b/>
        </w:rPr>
        <w:t>alle</w:t>
      </w:r>
      <w:r>
        <w:t xml:space="preserve"> kavels invullen (er zijn dus meerdere keuzen mogelijk). U moet uw keuze door middel van nummering van voorkeur in onderstaande tabel invullen.</w:t>
      </w:r>
      <w:r w:rsidR="004A2CFD">
        <w:t xml:space="preserve"> De kavel van uw eerste voorkeur krijgt nummer 1, de kavel van uw tweede voorkeur krijgt nummer 2, enzovoort. U kunt ieder voorkeurnummer maar één keer gebruiken. U kunt daarom niet meerdere keren voorkeur 1, 2 , enzovoort opgeven.</w:t>
      </w:r>
    </w:p>
    <w:p w:rsidR="001E768E" w:rsidRDefault="001E768E" w:rsidP="004C6FC9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5"/>
        <w:gridCol w:w="1590"/>
        <w:gridCol w:w="2458"/>
        <w:gridCol w:w="2386"/>
        <w:gridCol w:w="1811"/>
      </w:tblGrid>
      <w:tr w:rsidR="001E768E" w:rsidTr="009E5567">
        <w:tc>
          <w:tcPr>
            <w:tcW w:w="815" w:type="dxa"/>
            <w:shd w:val="clear" w:color="auto" w:fill="B8CCE4" w:themeFill="accent1" w:themeFillTint="66"/>
          </w:tcPr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Kavel</w:t>
            </w:r>
          </w:p>
          <w:p w:rsidR="001E768E" w:rsidRPr="009E5567" w:rsidRDefault="001E768E" w:rsidP="004C6FC9">
            <w:pPr>
              <w:contextualSpacing/>
              <w:rPr>
                <w:b/>
              </w:rPr>
            </w:pPr>
            <w:proofErr w:type="spellStart"/>
            <w:r w:rsidRPr="009E5567">
              <w:rPr>
                <w:b/>
              </w:rPr>
              <w:t>nr</w:t>
            </w:r>
            <w:proofErr w:type="spellEnd"/>
            <w:r w:rsidRPr="009E5567">
              <w:rPr>
                <w:b/>
              </w:rPr>
              <w:t>:</w:t>
            </w:r>
          </w:p>
        </w:tc>
        <w:tc>
          <w:tcPr>
            <w:tcW w:w="1590" w:type="dxa"/>
            <w:shd w:val="clear" w:color="auto" w:fill="B8CCE4" w:themeFill="accent1" w:themeFillTint="66"/>
          </w:tcPr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Oppervlakte</w:t>
            </w:r>
          </w:p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in m2</w:t>
            </w:r>
          </w:p>
        </w:tc>
        <w:tc>
          <w:tcPr>
            <w:tcW w:w="2458" w:type="dxa"/>
            <w:shd w:val="clear" w:color="auto" w:fill="B8CCE4" w:themeFill="accent1" w:themeFillTint="66"/>
          </w:tcPr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Kavelprijs</w:t>
            </w:r>
          </w:p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excl. BTW</w:t>
            </w:r>
          </w:p>
        </w:tc>
        <w:tc>
          <w:tcPr>
            <w:tcW w:w="2386" w:type="dxa"/>
            <w:shd w:val="clear" w:color="auto" w:fill="B8CCE4" w:themeFill="accent1" w:themeFillTint="66"/>
          </w:tcPr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Kavelprijs</w:t>
            </w:r>
          </w:p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incl. BTW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1E768E" w:rsidRPr="009E5567" w:rsidRDefault="001E768E" w:rsidP="004C6FC9">
            <w:pPr>
              <w:contextualSpacing/>
              <w:rPr>
                <w:b/>
              </w:rPr>
            </w:pPr>
            <w:r w:rsidRPr="009E5567">
              <w:rPr>
                <w:b/>
              </w:rPr>
              <w:t>Uw keuze(n)</w:t>
            </w: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16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406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>
              <w:t>€ 160.370,00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€ 194.047,70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17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415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>
              <w:t>€ 163.935,00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€ 198.361,35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18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455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>
              <w:t>€ 179.725,00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€ 217.467,25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19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478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>
              <w:t>€ 188.810,00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€ 228.460,10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20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478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 w:rsidRPr="00B20F9B">
              <w:t>€ 188.810,00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€ 228.460,10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21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478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 w:rsidRPr="00B20F9B">
              <w:t>€ 188.810,00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 w:rsidRPr="00D42745">
              <w:t>€ 228.460,10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22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478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 w:rsidRPr="00B20F9B">
              <w:t>€ 188.810,00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 w:rsidRPr="00D42745">
              <w:t>€ 228.460,10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23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478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 w:rsidRPr="00B20F9B">
              <w:t>€ 188.810,00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 w:rsidRPr="00D42745">
              <w:t>€ 228.460,10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24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478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 w:rsidRPr="00B20F9B">
              <w:t>€ 188.810,00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 w:rsidRPr="00D42745">
              <w:t>€ 228.460,10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25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478</w:t>
            </w:r>
          </w:p>
        </w:tc>
        <w:tc>
          <w:tcPr>
            <w:tcW w:w="2458" w:type="dxa"/>
          </w:tcPr>
          <w:p w:rsidR="001E768E" w:rsidRDefault="00B20F9B" w:rsidP="004C6FC9">
            <w:pPr>
              <w:contextualSpacing/>
            </w:pPr>
            <w:r w:rsidRPr="00B20F9B">
              <w:t>€ 188.810,00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 w:rsidRPr="00D42745">
              <w:t>€ 228.460,10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26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423</w:t>
            </w:r>
          </w:p>
        </w:tc>
        <w:tc>
          <w:tcPr>
            <w:tcW w:w="2458" w:type="dxa"/>
          </w:tcPr>
          <w:p w:rsidR="001E768E" w:rsidRDefault="00B60F3A" w:rsidP="004C6FC9">
            <w:pPr>
              <w:contextualSpacing/>
            </w:pPr>
            <w:r>
              <w:t>€ 158.625,00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€ 191.936,25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27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1E768E" w:rsidRDefault="00B60F3A" w:rsidP="004C6FC9">
            <w:pPr>
              <w:contextualSpacing/>
            </w:pPr>
            <w:r>
              <w:t>€ 159.375,00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€ 192.843,75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28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1E768E" w:rsidRDefault="00B60F3A" w:rsidP="004C6FC9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 w:rsidRPr="00D42745">
              <w:t>€ 192.843,75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29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€ 192.843,75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30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€ 192.843,75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31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€ 192.843,75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32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€ 192.843,75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33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€ 192.843,75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34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€ 192.843,75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35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425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€ 159.375,00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€ 192.843,75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36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535</w:t>
            </w:r>
          </w:p>
        </w:tc>
        <w:tc>
          <w:tcPr>
            <w:tcW w:w="2458" w:type="dxa"/>
          </w:tcPr>
          <w:p w:rsidR="001E768E" w:rsidRDefault="00B60F3A" w:rsidP="004C6FC9">
            <w:pPr>
              <w:contextualSpacing/>
            </w:pPr>
            <w:r>
              <w:t>€ 205.975,00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€ 249.229,75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37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490</w:t>
            </w:r>
          </w:p>
        </w:tc>
        <w:tc>
          <w:tcPr>
            <w:tcW w:w="2458" w:type="dxa"/>
          </w:tcPr>
          <w:p w:rsidR="001E768E" w:rsidRDefault="00B60F3A" w:rsidP="004C6FC9">
            <w:pPr>
              <w:contextualSpacing/>
            </w:pPr>
            <w:r>
              <w:t>€ 188.650,00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€ 228.266,50</w:t>
            </w:r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38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490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€ 188.650,00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€ 228.266,50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39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490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€ 188.650,00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€ 228.266,50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40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490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€ 188.650,00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€ 228.266,50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41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490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€ 188.650,00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€ 228.266,50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3434D6" w:rsidTr="009E5567">
        <w:tc>
          <w:tcPr>
            <w:tcW w:w="815" w:type="dxa"/>
          </w:tcPr>
          <w:p w:rsidR="003434D6" w:rsidRPr="009E5567" w:rsidRDefault="003434D6" w:rsidP="003434D6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42</w:t>
            </w:r>
          </w:p>
        </w:tc>
        <w:tc>
          <w:tcPr>
            <w:tcW w:w="1590" w:type="dxa"/>
          </w:tcPr>
          <w:p w:rsidR="003434D6" w:rsidRDefault="003434D6" w:rsidP="003434D6">
            <w:pPr>
              <w:contextualSpacing/>
              <w:jc w:val="right"/>
            </w:pPr>
            <w:r>
              <w:t>490</w:t>
            </w:r>
          </w:p>
        </w:tc>
        <w:tc>
          <w:tcPr>
            <w:tcW w:w="2458" w:type="dxa"/>
          </w:tcPr>
          <w:p w:rsidR="003434D6" w:rsidRDefault="003434D6" w:rsidP="003434D6">
            <w:pPr>
              <w:contextualSpacing/>
            </w:pPr>
            <w:r w:rsidRPr="00B60F3A">
              <w:t>€ 188.650,00</w:t>
            </w:r>
          </w:p>
        </w:tc>
        <w:tc>
          <w:tcPr>
            <w:tcW w:w="2386" w:type="dxa"/>
          </w:tcPr>
          <w:p w:rsidR="003434D6" w:rsidRDefault="00D42745" w:rsidP="003434D6">
            <w:r w:rsidRPr="00D42745">
              <w:t>€ 228.266,50</w:t>
            </w:r>
          </w:p>
        </w:tc>
        <w:tc>
          <w:tcPr>
            <w:tcW w:w="1811" w:type="dxa"/>
          </w:tcPr>
          <w:p w:rsidR="003434D6" w:rsidRDefault="003434D6" w:rsidP="003434D6">
            <w:pPr>
              <w:contextualSpacing/>
            </w:pPr>
          </w:p>
        </w:tc>
      </w:tr>
      <w:tr w:rsidR="001E768E" w:rsidTr="009E5567">
        <w:tc>
          <w:tcPr>
            <w:tcW w:w="815" w:type="dxa"/>
          </w:tcPr>
          <w:p w:rsidR="001E768E" w:rsidRPr="009E5567" w:rsidRDefault="001E768E" w:rsidP="009E5567">
            <w:pPr>
              <w:contextualSpacing/>
              <w:jc w:val="center"/>
              <w:rPr>
                <w:b/>
              </w:rPr>
            </w:pPr>
            <w:r w:rsidRPr="009E5567">
              <w:rPr>
                <w:b/>
              </w:rPr>
              <w:t>43</w:t>
            </w:r>
          </w:p>
        </w:tc>
        <w:tc>
          <w:tcPr>
            <w:tcW w:w="1590" w:type="dxa"/>
          </w:tcPr>
          <w:p w:rsidR="001E768E" w:rsidRDefault="009E5567" w:rsidP="009E5567">
            <w:pPr>
              <w:contextualSpacing/>
              <w:jc w:val="right"/>
            </w:pPr>
            <w:r>
              <w:t>518</w:t>
            </w:r>
          </w:p>
        </w:tc>
        <w:tc>
          <w:tcPr>
            <w:tcW w:w="2458" w:type="dxa"/>
          </w:tcPr>
          <w:p w:rsidR="001E768E" w:rsidRDefault="00B60F3A" w:rsidP="004C6FC9">
            <w:pPr>
              <w:contextualSpacing/>
            </w:pPr>
            <w:r>
              <w:t>€ 199.430,00</w:t>
            </w:r>
          </w:p>
        </w:tc>
        <w:tc>
          <w:tcPr>
            <w:tcW w:w="2386" w:type="dxa"/>
          </w:tcPr>
          <w:p w:rsidR="001E768E" w:rsidRDefault="00D42745" w:rsidP="004C6FC9">
            <w:pPr>
              <w:contextualSpacing/>
            </w:pPr>
            <w:r>
              <w:t>€ 241.310,30</w:t>
            </w:r>
            <w:bookmarkStart w:id="0" w:name="_GoBack"/>
            <w:bookmarkEnd w:id="0"/>
          </w:p>
        </w:tc>
        <w:tc>
          <w:tcPr>
            <w:tcW w:w="1811" w:type="dxa"/>
          </w:tcPr>
          <w:p w:rsidR="001E768E" w:rsidRDefault="001E768E" w:rsidP="004C6FC9">
            <w:pPr>
              <w:contextualSpacing/>
            </w:pPr>
          </w:p>
        </w:tc>
      </w:tr>
    </w:tbl>
    <w:p w:rsidR="007E3E74" w:rsidRPr="001E768E" w:rsidRDefault="007E3E74" w:rsidP="004C6FC9">
      <w:pPr>
        <w:contextualSpacing/>
      </w:pPr>
    </w:p>
    <w:p w:rsidR="00AD0BE7" w:rsidRDefault="00AD0BE7" w:rsidP="00AD0BE7">
      <w:pPr>
        <w:rPr>
          <w:b/>
        </w:rPr>
      </w:pPr>
    </w:p>
    <w:p w:rsidR="007E3E74" w:rsidRDefault="007E3E74" w:rsidP="004C6FC9">
      <w:pPr>
        <w:rPr>
          <w:b/>
        </w:rPr>
      </w:pPr>
    </w:p>
    <w:p w:rsidR="007E3E74" w:rsidRDefault="007E3E74">
      <w:pPr>
        <w:rPr>
          <w:b/>
        </w:rPr>
      </w:pPr>
    </w:p>
    <w:sectPr w:rsidR="007E3E74" w:rsidSect="004B7D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7AA"/>
    <w:multiLevelType w:val="hybridMultilevel"/>
    <w:tmpl w:val="FCEEE58C"/>
    <w:lvl w:ilvl="0" w:tplc="FA7021FA">
      <w:start w:val="9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5197"/>
    <w:multiLevelType w:val="hybridMultilevel"/>
    <w:tmpl w:val="24E4847E"/>
    <w:lvl w:ilvl="0" w:tplc="968AB9FA">
      <w:start w:val="9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5477"/>
    <w:multiLevelType w:val="hybridMultilevel"/>
    <w:tmpl w:val="8CFE7D26"/>
    <w:lvl w:ilvl="0" w:tplc="B4D2876A">
      <w:start w:val="9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B"/>
    <w:rsid w:val="0001468D"/>
    <w:rsid w:val="00022F23"/>
    <w:rsid w:val="00054A77"/>
    <w:rsid w:val="000A020C"/>
    <w:rsid w:val="00116525"/>
    <w:rsid w:val="00165CB9"/>
    <w:rsid w:val="00177FD7"/>
    <w:rsid w:val="00194270"/>
    <w:rsid w:val="001A0AFA"/>
    <w:rsid w:val="001B4F1D"/>
    <w:rsid w:val="001E768E"/>
    <w:rsid w:val="0020225C"/>
    <w:rsid w:val="002050E4"/>
    <w:rsid w:val="0021188C"/>
    <w:rsid w:val="00273CEB"/>
    <w:rsid w:val="00284CB4"/>
    <w:rsid w:val="00286644"/>
    <w:rsid w:val="002D1292"/>
    <w:rsid w:val="003219D2"/>
    <w:rsid w:val="003236CA"/>
    <w:rsid w:val="003434D6"/>
    <w:rsid w:val="0034395D"/>
    <w:rsid w:val="00353C84"/>
    <w:rsid w:val="003664F0"/>
    <w:rsid w:val="00380AAC"/>
    <w:rsid w:val="00390A73"/>
    <w:rsid w:val="00392A1A"/>
    <w:rsid w:val="003D4343"/>
    <w:rsid w:val="003E4418"/>
    <w:rsid w:val="004745F8"/>
    <w:rsid w:val="004A2CFD"/>
    <w:rsid w:val="004A5CDD"/>
    <w:rsid w:val="004B7D82"/>
    <w:rsid w:val="004C6FC9"/>
    <w:rsid w:val="004E43B6"/>
    <w:rsid w:val="004F5CAC"/>
    <w:rsid w:val="00511AE1"/>
    <w:rsid w:val="005462CA"/>
    <w:rsid w:val="005C2E1F"/>
    <w:rsid w:val="006C2B90"/>
    <w:rsid w:val="006D4322"/>
    <w:rsid w:val="006F0D3F"/>
    <w:rsid w:val="00745F04"/>
    <w:rsid w:val="007E3E74"/>
    <w:rsid w:val="00801E15"/>
    <w:rsid w:val="00822F82"/>
    <w:rsid w:val="008F6C27"/>
    <w:rsid w:val="0090652B"/>
    <w:rsid w:val="00972965"/>
    <w:rsid w:val="009A33B8"/>
    <w:rsid w:val="009E5567"/>
    <w:rsid w:val="009E72C1"/>
    <w:rsid w:val="00A23891"/>
    <w:rsid w:val="00A73A4F"/>
    <w:rsid w:val="00A94604"/>
    <w:rsid w:val="00AD091A"/>
    <w:rsid w:val="00AD0BE7"/>
    <w:rsid w:val="00AD354A"/>
    <w:rsid w:val="00B16E97"/>
    <w:rsid w:val="00B20F9B"/>
    <w:rsid w:val="00B60F3A"/>
    <w:rsid w:val="00BB4AF1"/>
    <w:rsid w:val="00C177A8"/>
    <w:rsid w:val="00C361AD"/>
    <w:rsid w:val="00C5281B"/>
    <w:rsid w:val="00C541F4"/>
    <w:rsid w:val="00C6064A"/>
    <w:rsid w:val="00CB441C"/>
    <w:rsid w:val="00CB50AF"/>
    <w:rsid w:val="00CB6623"/>
    <w:rsid w:val="00CC3CE0"/>
    <w:rsid w:val="00CD175F"/>
    <w:rsid w:val="00CD4088"/>
    <w:rsid w:val="00CD7178"/>
    <w:rsid w:val="00D15CEB"/>
    <w:rsid w:val="00D42745"/>
    <w:rsid w:val="00D84332"/>
    <w:rsid w:val="00DC1764"/>
    <w:rsid w:val="00E37E0D"/>
    <w:rsid w:val="00E43931"/>
    <w:rsid w:val="00E53AA1"/>
    <w:rsid w:val="00E84C6F"/>
    <w:rsid w:val="00E8676C"/>
    <w:rsid w:val="00E90199"/>
    <w:rsid w:val="00F0080F"/>
    <w:rsid w:val="00F25015"/>
    <w:rsid w:val="00F566EB"/>
    <w:rsid w:val="00F61FBE"/>
    <w:rsid w:val="00FE17BA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559E"/>
  <w15:docId w15:val="{C1AA48BF-023A-4C44-8B06-D2F5011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table" w:styleId="Tabelraster">
    <w:name w:val="Table Grid"/>
    <w:basedOn w:val="Standaardtabel"/>
    <w:uiPriority w:val="59"/>
    <w:rsid w:val="00F56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460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6644"/>
    <w:pPr>
      <w:ind w:left="720"/>
      <w:contextualSpacing/>
    </w:pPr>
  </w:style>
  <w:style w:type="table" w:styleId="Lichtelijst-accent1">
    <w:name w:val="Light List Accent 1"/>
    <w:basedOn w:val="Standaardtabel"/>
    <w:uiPriority w:val="61"/>
    <w:rsid w:val="0001468D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Schuurmans, Maria</dc:creator>
  <cp:lastModifiedBy>Schuurmans, Maria</cp:lastModifiedBy>
  <cp:revision>11</cp:revision>
  <dcterms:created xsi:type="dcterms:W3CDTF">2021-05-20T06:50:00Z</dcterms:created>
  <dcterms:modified xsi:type="dcterms:W3CDTF">2021-06-04T08:10:00Z</dcterms:modified>
</cp:coreProperties>
</file>